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915A10" w:rsidTr="00915A10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915A10" w:rsidRDefault="00915A10">
            <w:pPr>
              <w:pStyle w:val="ConsPlusNormal"/>
            </w:pPr>
            <w:r>
              <w:t>20 июля 2015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15A10" w:rsidRDefault="00915A10">
            <w:pPr>
              <w:pStyle w:val="ConsPlusNormal"/>
              <w:jc w:val="right"/>
            </w:pPr>
            <w:r>
              <w:t>N 85-ОЗ</w:t>
            </w:r>
          </w:p>
        </w:tc>
      </w:tr>
    </w:tbl>
    <w:p w:rsidR="00915A10" w:rsidRDefault="00915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5A10" w:rsidRDefault="00915A10">
      <w:pPr>
        <w:pStyle w:val="ConsPlusNormal"/>
      </w:pPr>
    </w:p>
    <w:p w:rsidR="00915A10" w:rsidRDefault="00915A10">
      <w:pPr>
        <w:pStyle w:val="ConsPlusTitle"/>
        <w:jc w:val="center"/>
      </w:pPr>
      <w:r>
        <w:t>ЗАКОН</w:t>
      </w:r>
    </w:p>
    <w:p w:rsidR="00915A10" w:rsidRDefault="00915A10">
      <w:pPr>
        <w:pStyle w:val="ConsPlusTitle"/>
        <w:jc w:val="center"/>
      </w:pPr>
    </w:p>
    <w:p w:rsidR="00915A10" w:rsidRDefault="00915A10">
      <w:pPr>
        <w:pStyle w:val="ConsPlusTitle"/>
        <w:jc w:val="center"/>
      </w:pPr>
      <w:r>
        <w:t>СВЕРДЛОВСКОЙ ОБЛАСТИ</w:t>
      </w:r>
    </w:p>
    <w:p w:rsidR="00915A10" w:rsidRDefault="00915A10">
      <w:pPr>
        <w:pStyle w:val="ConsPlusTitle"/>
        <w:jc w:val="center"/>
      </w:pPr>
    </w:p>
    <w:p w:rsidR="00915A10" w:rsidRDefault="00915A10">
      <w:pPr>
        <w:pStyle w:val="ConsPlusTitle"/>
        <w:jc w:val="center"/>
      </w:pPr>
      <w:r>
        <w:t>О ПЕРЕРАСПРЕДЕЛЕНИИ ОТДЕЛЬНЫХ ПОЛНОМОЧИЙ В СФЕРЕ РЕКЛАМЫ</w:t>
      </w:r>
      <w:r w:rsidR="00D62867">
        <w:t xml:space="preserve"> </w:t>
      </w:r>
      <w:r>
        <w:t>МЕЖДУ ОРГАНАМИ МЕСТНОГО САМОУПРАВЛЕНИЯ ГОРОДСКИХ ОКРУГОВ</w:t>
      </w:r>
      <w:r w:rsidR="00D62867">
        <w:t xml:space="preserve"> </w:t>
      </w:r>
      <w:r>
        <w:t>И МУНИЦИПАЛЬНЫХ РАЙОНОВ, РАСПОЛОЖЕННЫХ НА ТЕРРИТОРИИ</w:t>
      </w:r>
      <w:r w:rsidR="00D62867">
        <w:t xml:space="preserve"> </w:t>
      </w:r>
      <w:r>
        <w:t>СВЕРДЛОВСКОЙ ОБЛАСТИ, И ОРГАНАМИ ГОСУДАРСТВЕННОЙ ВЛАСТИ</w:t>
      </w:r>
      <w:r w:rsidR="00D62867">
        <w:t xml:space="preserve"> </w:t>
      </w:r>
      <w:bookmarkStart w:id="0" w:name="_GoBack"/>
      <w:bookmarkEnd w:id="0"/>
      <w:r>
        <w:t>СВЕРДЛОВСКОЙ ОБЛАСТИ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jc w:val="right"/>
      </w:pPr>
      <w:proofErr w:type="gramStart"/>
      <w:r>
        <w:t>Принят</w:t>
      </w:r>
      <w:proofErr w:type="gramEnd"/>
    </w:p>
    <w:p w:rsidR="00915A10" w:rsidRDefault="00915A10">
      <w:pPr>
        <w:pStyle w:val="ConsPlusNormal"/>
        <w:jc w:val="right"/>
      </w:pPr>
      <w:r>
        <w:t>Законодательным Собранием</w:t>
      </w:r>
    </w:p>
    <w:p w:rsidR="00915A10" w:rsidRDefault="00915A10">
      <w:pPr>
        <w:pStyle w:val="ConsPlusNormal"/>
        <w:jc w:val="right"/>
      </w:pPr>
      <w:r>
        <w:t>Свердловской области</w:t>
      </w:r>
    </w:p>
    <w:p w:rsidR="00915A10" w:rsidRDefault="00915A10">
      <w:pPr>
        <w:pStyle w:val="ConsPlusNormal"/>
        <w:jc w:val="right"/>
      </w:pPr>
      <w:r>
        <w:t>15 июля 2015 года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Статья 1. Предмет регулирования настоящего Закона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Настоящим Законом регулируются отношения, связанные с перераспределением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области.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Статья 2. Перераспределение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bookmarkStart w:id="1" w:name="P25"/>
      <w:bookmarkEnd w:id="1"/>
      <w:r>
        <w:t xml:space="preserve">Перераспределить на срок пять лет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 следующие полномочия в сфере рекламы, осуществляемые в отношении рекламных конструкций, расположенных в границах полос отвода и придорожных </w:t>
      </w:r>
      <w:proofErr w:type="gramStart"/>
      <w:r>
        <w:t>полос</w:t>
      </w:r>
      <w:proofErr w:type="gramEnd"/>
      <w:r>
        <w:t xml:space="preserve"> автомобильных дорог федерального, регионального и межмуниципального значения:</w:t>
      </w:r>
    </w:p>
    <w:p w:rsidR="00915A10" w:rsidRDefault="00915A10">
      <w:pPr>
        <w:pStyle w:val="ConsPlusNormal"/>
        <w:ind w:firstLine="540"/>
        <w:jc w:val="both"/>
      </w:pPr>
      <w:r>
        <w:t>1) утверждение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Свердловской области или муниципальной собственности;</w:t>
      </w:r>
    </w:p>
    <w:p w:rsidR="00915A10" w:rsidRDefault="00915A10">
      <w:pPr>
        <w:pStyle w:val="ConsPlusNormal"/>
        <w:ind w:firstLine="540"/>
        <w:jc w:val="both"/>
      </w:pPr>
      <w:r>
        <w:t xml:space="preserve">2) выдачу разрешений на установку и эксплуатацию рекламных конструкций на основании заявлений собственников или иных законных владельцев земельных </w:t>
      </w:r>
      <w:r>
        <w:lastRenderedPageBreak/>
        <w:t>участков, зданий и иного недвижимого имущества, владельцев рекламных конструкций;</w:t>
      </w:r>
    </w:p>
    <w:p w:rsidR="00915A10" w:rsidRDefault="00915A10">
      <w:pPr>
        <w:pStyle w:val="ConsPlusNormal"/>
        <w:ind w:firstLine="540"/>
        <w:jc w:val="both"/>
      </w:pPr>
      <w:r>
        <w:t>3) аннулирование разрешений на установку и эксплуатацию рекламных конструкций;</w:t>
      </w:r>
    </w:p>
    <w:p w:rsidR="00915A10" w:rsidRDefault="00915A10">
      <w:pPr>
        <w:pStyle w:val="ConsPlusNormal"/>
        <w:ind w:firstLine="540"/>
        <w:jc w:val="both"/>
      </w:pPr>
      <w:r>
        <w:t>4) выдачу предписаний о демонтаже самовольно установленных рекламных конструкций;</w:t>
      </w:r>
    </w:p>
    <w:p w:rsidR="00915A10" w:rsidRDefault="00915A10">
      <w:pPr>
        <w:pStyle w:val="ConsPlusNormal"/>
        <w:ind w:firstLine="540"/>
        <w:jc w:val="both"/>
      </w:pPr>
      <w:r>
        <w:t>5) определение типов и видов рекламных конструкций, допустимых и недопустимых к установке, в том числе требований к таким рекламным конструкциям;</w:t>
      </w:r>
    </w:p>
    <w:p w:rsidR="00915A10" w:rsidRDefault="00915A10">
      <w:pPr>
        <w:pStyle w:val="ConsPlusNormal"/>
        <w:ind w:firstLine="540"/>
        <w:jc w:val="both"/>
      </w:pPr>
      <w:r>
        <w:t xml:space="preserve">6) обращение в суд с иском о признании </w:t>
      </w:r>
      <w:proofErr w:type="gramStart"/>
      <w:r>
        <w:t>недействительными</w:t>
      </w:r>
      <w:proofErr w:type="gramEnd"/>
      <w:r>
        <w:t xml:space="preserve"> разрешений на установку и эксплуатацию рекламных конструкций в случае несоответствия установки рекламной конструкции в данном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 или в случае нарушения внешнего архитектурного облика сложившейся застройки;</w:t>
      </w:r>
    </w:p>
    <w:p w:rsidR="00915A10" w:rsidRDefault="00915A10">
      <w:pPr>
        <w:pStyle w:val="ConsPlusNormal"/>
        <w:ind w:firstLine="540"/>
        <w:jc w:val="both"/>
      </w:pPr>
      <w:r>
        <w:t xml:space="preserve">7) выплату компенсаций владельцам рекламных конструкций в случае внесения изменения в схему размещения рекламных конструкций, в результате которого место размещения ранее установленной рекламной конструкции </w:t>
      </w:r>
      <w:proofErr w:type="gramStart"/>
      <w:r>
        <w:t>перестало соответствовать указанной схеме и разрешение на установку и эксплуатацию такой рекламной конструкции было</w:t>
      </w:r>
      <w:proofErr w:type="gramEnd"/>
      <w:r>
        <w:t xml:space="preserve"> признано недействительным.</w:t>
      </w:r>
    </w:p>
    <w:p w:rsidR="00915A10" w:rsidRDefault="00915A10">
      <w:pPr>
        <w:pStyle w:val="ConsPlusNormal"/>
        <w:ind w:firstLine="540"/>
        <w:jc w:val="both"/>
      </w:pPr>
      <w:r>
        <w:t xml:space="preserve">Отнести указанные в </w:t>
      </w:r>
      <w:hyperlink w:anchor="P25" w:history="1">
        <w:r>
          <w:rPr>
            <w:color w:val="0000FF"/>
          </w:rPr>
          <w:t>части первой</w:t>
        </w:r>
      </w:hyperlink>
      <w:r>
        <w:t xml:space="preserve"> настоящей статьи полномочия в сфере рекламы органов местного самоуправления городских округов и муниципальных районов, расположенных на территории Свердловской области, к полномочиям органов государственной власти Свердловской области.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Статья 3. Обеспечение реализации настоящего Закона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 xml:space="preserve">1. Полномочия в сфере рекламы, указанные в </w:t>
      </w:r>
      <w:hyperlink w:anchor="P25" w:history="1">
        <w:r>
          <w:rPr>
            <w:color w:val="0000FF"/>
          </w:rPr>
          <w:t>части первой статьи 2</w:t>
        </w:r>
      </w:hyperlink>
      <w:r>
        <w:t xml:space="preserve"> настоящего Закона, осуществляются Правительством Свердловской области и областным исполнительным органом государственной власти Свердловской области, определенным Правительством Свердловской области.</w:t>
      </w:r>
    </w:p>
    <w:p w:rsidR="00915A10" w:rsidRDefault="00915A10">
      <w:pPr>
        <w:pStyle w:val="ConsPlusNormal"/>
        <w:ind w:firstLine="540"/>
        <w:jc w:val="both"/>
      </w:pPr>
      <w:r>
        <w:t xml:space="preserve">2. Полномочия в сфере рекламы, указанные в </w:t>
      </w:r>
      <w:hyperlink w:anchor="P25" w:history="1">
        <w:r>
          <w:rPr>
            <w:color w:val="0000FF"/>
          </w:rPr>
          <w:t>части первой статьи 2</w:t>
        </w:r>
      </w:hyperlink>
      <w:r>
        <w:t xml:space="preserve"> настоящего Закона, осуществляются за счет средств областного бюджета.</w:t>
      </w:r>
    </w:p>
    <w:p w:rsidR="00915A10" w:rsidRDefault="00915A10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Со дня вступления в силу настоящего Закона Правительство Свердловской области и областной исполнительный орган государственной власти Свердловской области, определенный Правительством Свердловской области, являются правопреемниками органов местного самоуправления городских округов и муниципальных районов, расположенных на территории Свердловской области, в отношениях, связанных с осуществлением полномочий, указанных в </w:t>
      </w:r>
      <w:hyperlink w:anchor="P25" w:history="1">
        <w:r>
          <w:rPr>
            <w:color w:val="0000FF"/>
          </w:rPr>
          <w:t>части первой статьи 2</w:t>
        </w:r>
      </w:hyperlink>
      <w:r>
        <w:t xml:space="preserve"> настоящего Закона.</w:t>
      </w:r>
      <w:proofErr w:type="gramEnd"/>
    </w:p>
    <w:p w:rsidR="00915A10" w:rsidRDefault="00915A10">
      <w:pPr>
        <w:pStyle w:val="ConsPlusNormal"/>
        <w:ind w:firstLine="540"/>
        <w:jc w:val="both"/>
      </w:pPr>
      <w:r>
        <w:t xml:space="preserve">4. Схема (схемы) размещения рекламных конструкций на территориях городских округов и муниципальных районов, расположенных на территории Свердловской области, в границах полос отвода и придорожных </w:t>
      </w:r>
      <w:proofErr w:type="gramStart"/>
      <w:r>
        <w:t>полос</w:t>
      </w:r>
      <w:proofErr w:type="gramEnd"/>
      <w:r>
        <w:t xml:space="preserve"> автомобильных дорог федерального, регионального и межмуниципального значения и вносимые в нее (в них) изменения подлежат опубликованию </w:t>
      </w:r>
      <w:r>
        <w:lastRenderedPageBreak/>
        <w:t>(обнародованию) в порядке, установленном для официального опубликования (обнародования) правовых актов Свердловской области, и размещению на официальных сайтах Правительства Свердловской области и (или) областного исполнительного органа государственной власти Свердловской области, определенного Правительством Свердловской области, в информационно-телекоммуникационной сети "Интернет".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Статья 4. Вступление в силу настоящего Закона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ind w:firstLine="540"/>
        <w:jc w:val="both"/>
      </w:pPr>
      <w:r>
        <w:t>Настоящий Закон вступает в силу с 1 января 2016 года.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  <w:jc w:val="right"/>
      </w:pPr>
      <w:r>
        <w:t>Губернатор</w:t>
      </w:r>
    </w:p>
    <w:p w:rsidR="00915A10" w:rsidRDefault="00915A10">
      <w:pPr>
        <w:pStyle w:val="ConsPlusNormal"/>
        <w:jc w:val="right"/>
      </w:pPr>
      <w:r>
        <w:t>Свердловской области</w:t>
      </w:r>
    </w:p>
    <w:p w:rsidR="00915A10" w:rsidRDefault="00915A10">
      <w:pPr>
        <w:pStyle w:val="ConsPlusNormal"/>
        <w:jc w:val="right"/>
      </w:pPr>
      <w:r>
        <w:t>Е.В.КУЙВАШЕВ</w:t>
      </w:r>
    </w:p>
    <w:p w:rsidR="00915A10" w:rsidRDefault="00915A10">
      <w:pPr>
        <w:pStyle w:val="ConsPlusNormal"/>
      </w:pPr>
      <w:r>
        <w:t>г. Екатеринбург</w:t>
      </w:r>
    </w:p>
    <w:p w:rsidR="00915A10" w:rsidRDefault="00915A10">
      <w:pPr>
        <w:pStyle w:val="ConsPlusNormal"/>
      </w:pPr>
      <w:r>
        <w:t>20 июля 2015 года</w:t>
      </w:r>
    </w:p>
    <w:p w:rsidR="00915A10" w:rsidRDefault="00915A10">
      <w:pPr>
        <w:pStyle w:val="ConsPlusNormal"/>
      </w:pPr>
      <w:r>
        <w:t>N 85-ОЗ</w:t>
      </w:r>
    </w:p>
    <w:p w:rsidR="00915A10" w:rsidRDefault="00915A10">
      <w:pPr>
        <w:pStyle w:val="ConsPlusNormal"/>
      </w:pPr>
    </w:p>
    <w:p w:rsidR="00915A10" w:rsidRDefault="00915A10">
      <w:pPr>
        <w:pStyle w:val="ConsPlusNormal"/>
      </w:pPr>
    </w:p>
    <w:p w:rsidR="00915A10" w:rsidRDefault="00915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8EE" w:rsidRDefault="00D62867"/>
    <w:sectPr w:rsidR="002C58EE" w:rsidSect="00C77D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10"/>
    <w:rsid w:val="00082F07"/>
    <w:rsid w:val="00915A10"/>
    <w:rsid w:val="00B0359D"/>
    <w:rsid w:val="00B137D1"/>
    <w:rsid w:val="00C86CEC"/>
    <w:rsid w:val="00D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A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15A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1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A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15A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15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 Павел Николаевич</dc:creator>
  <cp:lastModifiedBy>Бочков Павел Николаевич</cp:lastModifiedBy>
  <cp:revision>2</cp:revision>
  <dcterms:created xsi:type="dcterms:W3CDTF">2015-11-05T03:35:00Z</dcterms:created>
  <dcterms:modified xsi:type="dcterms:W3CDTF">2015-11-05T03:36:00Z</dcterms:modified>
</cp:coreProperties>
</file>